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64612" w14:textId="77777777"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4C5756BF" wp14:editId="4DA7B85A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 wp14:anchorId="365832CE" wp14:editId="70A1E81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09037" w14:textId="77777777"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FCCC2" w14:textId="77777777"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0E50CF36" wp14:editId="4D2A07FC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A4AD66" w14:textId="77777777"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99CC340" w14:textId="77777777"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14:paraId="4E0AD118" w14:textId="77777777"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004542C" w14:textId="77777777"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14:paraId="111DD648" w14:textId="77777777"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60811F51" wp14:editId="549B5F49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8AF56" w14:textId="77777777"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14:paraId="40B247C5" w14:textId="77777777" w:rsidR="000B0062" w:rsidRDefault="000B0062" w:rsidP="000B0062"/>
    <w:p w14:paraId="12783293" w14:textId="77777777"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67A34CD5" wp14:editId="7EC774FF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B14B3" w14:textId="77777777"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 wp14:anchorId="44E050E0" wp14:editId="6C8B6D20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33CD8" w14:textId="77777777"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5AC1D853" w14:textId="77777777"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994C849" w14:textId="77777777"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2838FB5C" w14:textId="77777777" w:rsidR="000B0062" w:rsidRDefault="000B0062" w:rsidP="000B0062"/>
    <w:p w14:paraId="2D0FB69D" w14:textId="77777777" w:rsidR="000B0062" w:rsidRDefault="000B0062" w:rsidP="000B0062"/>
    <w:p w14:paraId="4EDD75BB" w14:textId="77777777" w:rsidR="000B0062" w:rsidRDefault="000B0062" w:rsidP="000B0062"/>
    <w:p w14:paraId="20FA78D4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43FA1417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6BE17D3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48E608E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251B07DF" w14:textId="77777777"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1909B926" w14:textId="77777777"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14:paraId="2510B70E" w14:textId="77777777"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CA5772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051816" w:rsidRPr="00051816">
        <w:rPr>
          <w:rFonts w:ascii="Times New Roman" w:hAnsi="Times New Roman"/>
          <w:b/>
          <w:sz w:val="36"/>
          <w:szCs w:val="36"/>
        </w:rPr>
        <w:t xml:space="preserve">Charcuteries </w:t>
      </w:r>
      <w:proofErr w:type="spellStart"/>
      <w:r w:rsidR="00051816" w:rsidRPr="00051816">
        <w:rPr>
          <w:rFonts w:ascii="Times New Roman" w:hAnsi="Times New Roman"/>
          <w:b/>
          <w:sz w:val="36"/>
          <w:szCs w:val="36"/>
        </w:rPr>
        <w:t>saucisseri</w:t>
      </w:r>
      <w:r w:rsidR="00051816">
        <w:rPr>
          <w:rFonts w:ascii="Times New Roman" w:hAnsi="Times New Roman"/>
          <w:b/>
          <w:sz w:val="36"/>
          <w:szCs w:val="36"/>
        </w:rPr>
        <w:t>e</w:t>
      </w:r>
      <w:r w:rsidR="00051816" w:rsidRPr="00051816">
        <w:rPr>
          <w:rFonts w:ascii="Times New Roman" w:hAnsi="Times New Roman"/>
          <w:b/>
          <w:sz w:val="36"/>
          <w:szCs w:val="36"/>
        </w:rPr>
        <w:t>s</w:t>
      </w:r>
      <w:proofErr w:type="spellEnd"/>
      <w:r w:rsidR="00051816" w:rsidRPr="00051816">
        <w:rPr>
          <w:rFonts w:ascii="Times New Roman" w:hAnsi="Times New Roman"/>
          <w:b/>
          <w:sz w:val="36"/>
          <w:szCs w:val="36"/>
        </w:rPr>
        <w:t xml:space="preserve"> réfrigérées </w:t>
      </w:r>
      <w:r w:rsidR="00CA5772" w:rsidRPr="00CA5772">
        <w:rPr>
          <w:rFonts w:ascii="Times New Roman" w:hAnsi="Times New Roman"/>
          <w:b/>
          <w:sz w:val="36"/>
          <w:szCs w:val="36"/>
        </w:rPr>
        <w:t xml:space="preserve">au profit du CLV (Centre Logistique Vivres) de Brest </w:t>
      </w:r>
    </w:p>
    <w:p w14:paraId="0D4B5C2C" w14:textId="77777777"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14:paraId="1F1BAD6C" w14:textId="77777777"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3D8CCDF" w14:textId="77777777"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F38492D" w14:textId="77777777"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14:paraId="1D5C05BD" w14:textId="77777777"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14:paraId="6E54D49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476C6FC9" w14:textId="77777777"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14:paraId="26093E13" w14:textId="77777777"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14:paraId="4B9F206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2AA6CBA" w14:textId="77777777" w:rsidR="008971EA" w:rsidRDefault="008971EA" w:rsidP="0074570B">
      <w:pPr>
        <w:ind w:right="283"/>
        <w:rPr>
          <w:rFonts w:ascii="Times New Roman" w:hAnsi="Times New Roman"/>
          <w:noProof/>
        </w:rPr>
      </w:pPr>
    </w:p>
    <w:p w14:paraId="4F19F196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3155F56A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49B4A8E4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32C01450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0DD8009B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329BEEFC" w14:textId="77777777"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14:paraId="232C07A0" w14:textId="77777777"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14:paraId="6B2D42F0" w14:textId="77777777"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CA5772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CA5772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14:paraId="426DEBC5" w14:textId="77777777"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14:paraId="0DFAC4B4" w14:textId="77777777"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14:paraId="6858E296" w14:textId="77777777"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14:paraId="34F99359" w14:textId="77777777"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14:paraId="659684A9" w14:textId="77777777"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14:paraId="5A6C4499" w14:textId="77777777"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06908F6E" w14:textId="77777777"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72DB2D60" w14:textId="77777777"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5D68A17A" w14:textId="77777777"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1207AADA" w14:textId="77777777"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4B322564" w14:textId="77777777"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5DD15002" w14:textId="77777777"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41F73F08" w14:textId="77777777"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14:paraId="4539FBBC" w14:textId="77777777"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14:paraId="5C7B2F5D" w14:textId="77777777"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051816">
        <w:rPr>
          <w:rFonts w:ascii="Times New Roman" w:hAnsi="Times New Roman" w:cs="Times New Roman"/>
          <w:sz w:val="22"/>
          <w:szCs w:val="22"/>
        </w:rPr>
        <w:t>c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harcuteries 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saucisseries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 xml:space="preserve"> réfrigérées </w:t>
      </w:r>
      <w:r w:rsidR="00CA5772" w:rsidRPr="00CA5772">
        <w:rPr>
          <w:rFonts w:ascii="Times New Roman" w:hAnsi="Times New Roman" w:cs="Times New Roman"/>
          <w:sz w:val="22"/>
          <w:szCs w:val="22"/>
        </w:rPr>
        <w:t>au profit du CLV (Cen</w:t>
      </w:r>
      <w:r w:rsidR="00CA5772">
        <w:rPr>
          <w:rFonts w:ascii="Times New Roman" w:hAnsi="Times New Roman" w:cs="Times New Roman"/>
          <w:sz w:val="22"/>
          <w:szCs w:val="22"/>
        </w:rPr>
        <w:t xml:space="preserve">tre Logistique Vivres) de 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Brest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14:paraId="7CD4FB57" w14:textId="77777777"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1BB42C7" w14:textId="77777777"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14:paraId="57FD7DAB" w14:textId="77777777"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32CAFDDC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3079BA9D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48F8DCC5" w14:textId="77777777"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14:paraId="0E3A5334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14:paraId="6E969900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2788E29" w14:textId="77777777"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14:paraId="05F289CC" w14:textId="77777777"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449D14DA" w14:textId="77777777"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5935BC72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D8B45AA" w14:textId="77777777"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2FC8C4F" w14:textId="77777777" w:rsidR="00CA5772" w:rsidRPr="00CA5772" w:rsidRDefault="00CA5772" w:rsidP="00CA577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14:paraId="0D9F8ECA" w14:textId="77777777"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3D3597ED" w14:textId="77777777"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4C122FF2" w14:textId="77777777" w:rsidR="00051816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concernée.</w:t>
      </w:r>
    </w:p>
    <w:p w14:paraId="70C63060" w14:textId="77777777" w:rsidR="00CA5772" w:rsidRPr="00A56808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7E3ACE6E" w14:textId="77777777"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14:paraId="310E4008" w14:textId="77777777"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0ABB464E" w14:textId="77777777"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4D84D82E" w14:textId="77777777"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14:paraId="7C663F3D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99501E4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6476760C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F9B8BB1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14:paraId="7D4ADD43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C175CFC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756FCF2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14:paraId="0F32C21C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94D58C2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752C0E1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14:paraId="5CBE2644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5CEF731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FEDC945" w14:textId="77777777"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14:paraId="104F5E4C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14:paraId="4FE13165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30DAD8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14:paraId="3BEDBD66" w14:textId="77777777" w:rsidR="00A440CA" w:rsidRPr="00A56808" w:rsidRDefault="00A440CA" w:rsidP="00431C0D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2A87CA19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3660E4F8" w14:textId="77777777"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14:paraId="4446B6CD" w14:textId="77777777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3E3CC74D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3CB69A35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14:paraId="55075C09" w14:textId="77777777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67DF9E40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08C6FDE8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14:paraId="4B07F29D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1662AC4C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78B015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14:paraId="0AD7D177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AF35AD6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F08980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14:paraId="2CEA7174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148B6D2B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E7C12B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90F3905" w14:textId="77777777"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80B5268" w14:textId="022541E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431C0D">
        <w:rPr>
          <w:rFonts w:ascii="Times New Roman" w:hAnsi="Times New Roman" w:cs="Times New Roman"/>
          <w:sz w:val="22"/>
          <w:szCs w:val="22"/>
        </w:rPr>
        <w:t xml:space="preserve"> Brest lot 1 à 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14:paraId="05650E3E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0E00551" w14:textId="77777777"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D38AF04" w14:textId="77777777"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029F2E4F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FC037EF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C2E9E3F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2379C03D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0D0A6A0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F950006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22EACFE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14:paraId="53AF3256" w14:textId="77777777"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14:paraId="21826733" w14:textId="77777777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14:paraId="032AF194" w14:textId="77777777"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14:paraId="690816D5" w14:textId="77777777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14:paraId="22BDDE5B" w14:textId="0A2EDA69" w:rsidR="00700945" w:rsidRPr="002C23AF" w:rsidRDefault="0024734E" w:rsidP="002C23A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5 </w:t>
            </w:r>
            <w:r w:rsidR="005D7B1A">
              <w:rPr>
                <w:rFonts w:ascii="Times New Roman" w:hAnsi="Times New Roman" w:cs="Times New Roman"/>
                <w:bCs/>
                <w:sz w:val="22"/>
                <w:szCs w:val="22"/>
              </w:rPr>
              <w:t>880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14:paraId="7660D80C" w14:textId="77777777"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C4D290F" w14:textId="77777777"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72D2973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14:paraId="5A9BE423" w14:textId="77777777"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14:paraId="298BF7DF" w14:textId="77777777"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14:paraId="79B0E1BA" w14:textId="77777777"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11D093DC" w14:textId="77777777"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14:paraId="09C518FF" w14:textId="77777777"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14:paraId="695C9958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073B357" w14:textId="77777777"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14:paraId="11B3D970" w14:textId="77777777" w:rsidR="0023407B" w:rsidRPr="00A56808" w:rsidRDefault="00CA5772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  <w:r w:rsidR="006410ED" w:rsidRPr="00A56808">
        <w:rPr>
          <w:rFonts w:ascii="Times New Roman" w:hAnsi="Times New Roman" w:cs="Times New Roman"/>
          <w:sz w:val="22"/>
          <w:szCs w:val="22"/>
        </w:rPr>
        <w:t>.</w:t>
      </w:r>
    </w:p>
    <w:p w14:paraId="3BA96672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CCBE533" w14:textId="77777777"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14:paraId="6524C1CC" w14:textId="77777777"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14:paraId="4E2B9B15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9E944A6" w14:textId="77777777"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14:paraId="04FB9436" w14:textId="77777777" w:rsidR="00CA5772" w:rsidRDefault="00354FC6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14:paraId="4271917E" w14:textId="77777777" w:rsid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9E75941" w14:textId="77777777" w:rsidR="00CA5772" w:rsidRP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A5772">
        <w:rPr>
          <w:rFonts w:ascii="Times New Roman" w:hAnsi="Times New Roman"/>
          <w:color w:val="000000"/>
          <w:sz w:val="22"/>
          <w:szCs w:val="22"/>
        </w:rPr>
        <w:t xml:space="preserve">À l’issue de cette période, l’accord-cadre à bons de commande est reconduit tacitement deux (2) fois pour une durée de douze (12) mois. </w:t>
      </w:r>
    </w:p>
    <w:p w14:paraId="5B57DB38" w14:textId="77777777" w:rsidR="00CA5772" w:rsidRP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>Après ces deux reconductions annuelles, l’accord-cadre à bons de commande est reconduit tacitement deux (2) fois pour une durée de six (6) mois.</w:t>
      </w:r>
    </w:p>
    <w:p w14:paraId="5481CD8E" w14:textId="77777777" w:rsid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14:paraId="12B7B51A" w14:textId="77777777" w:rsidR="004002BD" w:rsidRPr="00A56808" w:rsidRDefault="004002BD" w:rsidP="00CA5772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14:paraId="2CAB6B3B" w14:textId="000AAE86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E11973">
        <w:rPr>
          <w:rFonts w:ascii="Times New Roman" w:hAnsi="Times New Roman" w:cs="Times New Roman"/>
          <w:sz w:val="22"/>
          <w:szCs w:val="22"/>
        </w:rPr>
        <w:t>6</w:t>
      </w:r>
      <w:r w:rsidR="00E11973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="00177452" w:rsidRPr="00A56808">
        <w:rPr>
          <w:rFonts w:ascii="Times New Roman" w:hAnsi="Times New Roman" w:cs="Times New Roman"/>
          <w:sz w:val="22"/>
          <w:szCs w:val="22"/>
        </w:rPr>
        <w:t>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14:paraId="473D8688" w14:textId="77777777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E5EEFEB" w14:textId="77777777"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3B26BC0D" w14:textId="77777777"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5809029B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14:paraId="6CB5E3E0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8F3F3FA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14:paraId="61E36B00" w14:textId="77777777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C8CCD24" w14:textId="77777777"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14:paraId="70A6DEBA" w14:textId="77777777"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14:paraId="4CBB8120" w14:textId="77777777"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14:paraId="505596B2" w14:textId="77777777"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14:paraId="7E82FDFB" w14:textId="77777777"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25685CA" w14:textId="77777777"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BE656F7" wp14:editId="0EA322C4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221E" w14:textId="77777777"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14:paraId="2F07C698" w14:textId="77777777"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585A8C0F" w14:textId="77777777"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24BC094C" w14:textId="77777777"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379754C" wp14:editId="0595B204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636C8" w14:textId="77777777"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A107C2E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578F5A2" w14:textId="77777777"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C742AAE" w14:textId="77777777"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F964574" w14:textId="77777777"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F350E1" w14:textId="77777777"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B728421" w14:textId="77777777"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343CF45" w14:textId="77777777"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5B73360C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1007"/>
                              <w:gridCol w:w="1162"/>
                              <w:gridCol w:w="905"/>
                              <w:gridCol w:w="1273"/>
                              <w:gridCol w:w="1040"/>
                              <w:gridCol w:w="1018"/>
                              <w:gridCol w:w="1140"/>
                              <w:gridCol w:w="996"/>
                              <w:gridCol w:w="1062"/>
                            </w:tblGrid>
                            <w:tr w:rsidR="006B2CB9" w:rsidRPr="000A31C7" w14:paraId="541A7F51" w14:textId="7777777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DED5C1A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5F337F2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EB62B56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DA955B6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44A0E4A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1331A8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7364CEC6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7D5D6C79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417698D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13908FD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6B2CB9" w:rsidRPr="000A31C7" w14:paraId="525FFEA9" w14:textId="7777777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93231D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2B6DD77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C5ACE1C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2A1E4A4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7CD113E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11B2AB4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A420830" w14:textId="77777777"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41209B" w14:textId="77777777"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78CCE39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FD03A78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14:paraId="20898BC0" w14:textId="7777777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7B976E8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1137022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1C197A0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AE2B5B6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661BFC4" w14:textId="77777777"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F0681F7" w14:textId="77777777"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7B4D0AD" w14:textId="77777777"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EB63E90" w14:textId="77777777"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08AD942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9BD5C44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14:paraId="65CD2A5C" w14:textId="77777777" w:rsidTr="006B2CB9">
                              <w:trPr>
                                <w:trHeight w:val="138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7C30B08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08B1A47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37C16F9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A8A07A0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C5375AB" w14:textId="77777777"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14:paraId="38D5F438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306CCAF" w14:textId="77777777"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  <w:p w14:paraId="36E6FBDD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6592028" w14:textId="77777777"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34338B54" w14:textId="77777777"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absence conflits d’intérêts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874E577" w14:textId="77777777"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7793D8CC" w14:textId="77777777" w:rsidR="006B2CB9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7DF110C1" w14:textId="77777777"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41CA5B0" w14:textId="77777777"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A0D283A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B2CB9" w:rsidRPr="000A31C7" w14:paraId="243FF655" w14:textId="7777777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ADEFDD7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7BCE298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44DB19F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3A3D06C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E7F606E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7A32158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8430E74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F8E37AF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DFAE93F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DD30A52" w14:textId="77777777"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44D9EF2C" w14:textId="77777777"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7B95215" w14:textId="77777777"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B8EED70" w14:textId="77777777"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55379443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03FBF7B" w14:textId="77777777"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38A1B62A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ED632FD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6A6EE38F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3B1CC203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594BB77E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48CB44C6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391A3E44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3ED3847B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538E2AFD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1014109E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6CCE35AB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3DEDCAC5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6688C5E6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81CFCB2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9754C"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14:paraId="692636C8" w14:textId="77777777"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A107C2E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6578F5A2" w14:textId="77777777"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6C742AAE" w14:textId="77777777"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F964574" w14:textId="77777777"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F350E1" w14:textId="77777777"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B728421" w14:textId="77777777"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343CF45" w14:textId="77777777"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5B73360C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1007"/>
                        <w:gridCol w:w="1162"/>
                        <w:gridCol w:w="905"/>
                        <w:gridCol w:w="1273"/>
                        <w:gridCol w:w="1040"/>
                        <w:gridCol w:w="1018"/>
                        <w:gridCol w:w="1140"/>
                        <w:gridCol w:w="996"/>
                        <w:gridCol w:w="1062"/>
                      </w:tblGrid>
                      <w:tr w:rsidR="006B2CB9" w:rsidRPr="000A31C7" w14:paraId="541A7F51" w14:textId="7777777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DED5C1A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5F337F2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EB62B56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DA955B6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44A0E4A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81331A8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7364CEC6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7D5D6C79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 w:val="restart"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417698D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13908FD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6B2CB9" w:rsidRPr="000A31C7" w14:paraId="525FFEA9" w14:textId="7777777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1793231D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2B6DD77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3C5ACE1C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2A1E4A4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7CD113E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11B2AB4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A420830" w14:textId="77777777"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5241209B" w14:textId="77777777"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278CCE39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FD03A78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14:paraId="20898BC0" w14:textId="7777777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7B976E8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1137022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1C197A0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AE2B5B6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661BFC4" w14:textId="77777777"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F0681F7" w14:textId="77777777"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7B4D0AD" w14:textId="77777777"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EB63E90" w14:textId="77777777"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08AD942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69BD5C44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14:paraId="65CD2A5C" w14:textId="77777777" w:rsidTr="006B2CB9">
                        <w:trPr>
                          <w:trHeight w:val="138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7C30B08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08B1A47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237C16F9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A8A07A0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C5375AB" w14:textId="77777777"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14:paraId="38D5F438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306CCAF" w14:textId="77777777"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  <w:p w14:paraId="36E6FBDD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6592028" w14:textId="77777777"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34338B54" w14:textId="77777777"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absence conflits d’intérêts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874E577" w14:textId="77777777"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7793D8CC" w14:textId="77777777" w:rsidR="006B2CB9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7DF110C1" w14:textId="77777777"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241CA5B0" w14:textId="77777777"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A0D283A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B2CB9" w:rsidRPr="000A31C7" w14:paraId="243FF655" w14:textId="7777777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ADEFDD7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7BCE298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44DB19F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3A3D06C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E7F606E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7A32158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8430E74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F8E37AF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DFAE93F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DD30A52" w14:textId="77777777"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44D9EF2C" w14:textId="77777777"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7B95215" w14:textId="77777777"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B8EED70" w14:textId="77777777"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55379443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03FBF7B" w14:textId="77777777"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38A1B62A" w14:textId="77777777" w:rsidR="00672D3F" w:rsidRDefault="00672D3F" w:rsidP="00672D3F">
                      <w:pPr>
                        <w:ind w:left="180" w:hanging="180"/>
                      </w:pPr>
                    </w:p>
                    <w:p w14:paraId="2ED632FD" w14:textId="77777777" w:rsidR="00672D3F" w:rsidRDefault="00672D3F" w:rsidP="00672D3F">
                      <w:pPr>
                        <w:ind w:left="180" w:hanging="180"/>
                      </w:pPr>
                    </w:p>
                    <w:p w14:paraId="6A6EE38F" w14:textId="77777777" w:rsidR="00672D3F" w:rsidRDefault="00672D3F" w:rsidP="00672D3F">
                      <w:pPr>
                        <w:ind w:left="180" w:hanging="180"/>
                      </w:pPr>
                    </w:p>
                    <w:p w14:paraId="3B1CC203" w14:textId="77777777" w:rsidR="00672D3F" w:rsidRDefault="00672D3F" w:rsidP="00672D3F">
                      <w:pPr>
                        <w:ind w:left="180" w:hanging="180"/>
                      </w:pPr>
                    </w:p>
                    <w:p w14:paraId="594BB77E" w14:textId="77777777" w:rsidR="00672D3F" w:rsidRDefault="00672D3F" w:rsidP="00672D3F">
                      <w:pPr>
                        <w:ind w:left="180" w:hanging="180"/>
                      </w:pPr>
                    </w:p>
                    <w:p w14:paraId="48CB44C6" w14:textId="77777777" w:rsidR="00672D3F" w:rsidRDefault="00672D3F" w:rsidP="00672D3F">
                      <w:pPr>
                        <w:ind w:left="180" w:hanging="180"/>
                      </w:pPr>
                    </w:p>
                    <w:p w14:paraId="391A3E44" w14:textId="77777777" w:rsidR="00672D3F" w:rsidRDefault="00672D3F" w:rsidP="00672D3F">
                      <w:pPr>
                        <w:ind w:left="180" w:hanging="180"/>
                      </w:pPr>
                    </w:p>
                    <w:p w14:paraId="3ED3847B" w14:textId="77777777" w:rsidR="00672D3F" w:rsidRDefault="00672D3F" w:rsidP="00672D3F">
                      <w:pPr>
                        <w:ind w:left="180" w:hanging="180"/>
                      </w:pPr>
                    </w:p>
                    <w:p w14:paraId="538E2AFD" w14:textId="77777777" w:rsidR="00672D3F" w:rsidRDefault="00672D3F" w:rsidP="00672D3F">
                      <w:pPr>
                        <w:ind w:left="180" w:hanging="180"/>
                      </w:pPr>
                    </w:p>
                    <w:p w14:paraId="1014109E" w14:textId="77777777" w:rsidR="00672D3F" w:rsidRDefault="00672D3F" w:rsidP="00672D3F">
                      <w:pPr>
                        <w:ind w:left="180" w:hanging="180"/>
                      </w:pPr>
                    </w:p>
                    <w:p w14:paraId="6CCE35AB" w14:textId="77777777" w:rsidR="00672D3F" w:rsidRDefault="00672D3F" w:rsidP="00672D3F">
                      <w:pPr>
                        <w:ind w:left="180" w:hanging="180"/>
                      </w:pPr>
                    </w:p>
                    <w:p w14:paraId="3DEDCAC5" w14:textId="77777777" w:rsidR="00672D3F" w:rsidRDefault="00672D3F" w:rsidP="00672D3F">
                      <w:pPr>
                        <w:ind w:left="180" w:hanging="180"/>
                      </w:pPr>
                    </w:p>
                    <w:p w14:paraId="6688C5E6" w14:textId="77777777" w:rsidR="00672D3F" w:rsidRDefault="00672D3F" w:rsidP="00672D3F">
                      <w:pPr>
                        <w:ind w:left="180" w:hanging="180"/>
                      </w:pPr>
                    </w:p>
                    <w:p w14:paraId="281CFCB2" w14:textId="77777777"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CA5772">
      <w:footerReference w:type="even" r:id="rId10"/>
      <w:footerReference w:type="default" r:id="rId11"/>
      <w:pgSz w:w="11900" w:h="16840" w:code="9"/>
      <w:pgMar w:top="782" w:right="697" w:bottom="709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B0179" w14:textId="77777777" w:rsidR="00404E8F" w:rsidRDefault="00404E8F">
      <w:r>
        <w:separator/>
      </w:r>
    </w:p>
  </w:endnote>
  <w:endnote w:type="continuationSeparator" w:id="0">
    <w:p w14:paraId="080E8E8A" w14:textId="77777777" w:rsidR="00404E8F" w:rsidRDefault="0040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CD275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232BCD4" w14:textId="77777777" w:rsidR="007D2D49" w:rsidRDefault="007D2D49">
    <w:pPr>
      <w:pStyle w:val="Pieddepage"/>
      <w:ind w:right="360"/>
    </w:pPr>
  </w:p>
  <w:p w14:paraId="2F82E144" w14:textId="77777777" w:rsidR="007D2D49" w:rsidRDefault="007D2D49"/>
  <w:p w14:paraId="4B08B5C9" w14:textId="77777777" w:rsidR="007D2D49" w:rsidRDefault="007D2D49"/>
  <w:p w14:paraId="2832AFD2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87943" w14:textId="6A3CE2BB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D7B1A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D7B1A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F203E" w14:textId="77777777" w:rsidR="00404E8F" w:rsidRDefault="00404E8F">
      <w:r>
        <w:separator/>
      </w:r>
    </w:p>
  </w:footnote>
  <w:footnote w:type="continuationSeparator" w:id="0">
    <w:p w14:paraId="4347AEEF" w14:textId="77777777" w:rsidR="00404E8F" w:rsidRDefault="00404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34E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04E8F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1C0D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1E14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D7B1A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2CB9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5772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2F2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1973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  <w14:docId w14:val="0CA710AD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AC010-4F36-4A86-8E65-A33737E3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710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3</cp:revision>
  <cp:lastPrinted>2020-09-25T09:11:00Z</cp:lastPrinted>
  <dcterms:created xsi:type="dcterms:W3CDTF">2025-08-20T14:47:00Z</dcterms:created>
  <dcterms:modified xsi:type="dcterms:W3CDTF">2025-08-21T09:32:00Z</dcterms:modified>
</cp:coreProperties>
</file>